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855" w:rsidRPr="006C5855" w:rsidRDefault="006C5855" w:rsidP="006C5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C58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Michel Leiris (1901-1990) </w:t>
      </w:r>
    </w:p>
    <w:p w:rsidR="006C5855" w:rsidRPr="006C5855" w:rsidRDefault="006C5855" w:rsidP="006C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Michel Leiris, poète et écrivain dans la mouvance puis dans la dissidence </w:t>
      </w:r>
      <w:proofErr w:type="gramStart"/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>surréalistes</w:t>
      </w:r>
      <w:proofErr w:type="gramEnd"/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devint ethnologue presque par accident. Ainsi </w:t>
      </w:r>
      <w:proofErr w:type="spellStart"/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>fit-il</w:t>
      </w:r>
      <w:proofErr w:type="spellEnd"/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quelque sorte de lui-même son objet d’étude, avec </w:t>
      </w:r>
      <w:r w:rsidRPr="006C585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La Règle du jeu </w:t>
      </w: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(1948-1976), sa plus vaste entreprise autobiographique. Chez Leiris, parti en quête de la capacité de révélation du langage sur soi-même et les autres, la pratique de l’écriture et les expérimentations sur la langue (« ce qui chante » dans les mots) possèdent règles et rituels. Mais écrire comporte surtout des risques si, comme il le dit dans la préface (1946) de </w:t>
      </w:r>
      <w:r w:rsidRPr="006C585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L’Âge d’homme </w:t>
      </w: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(1939), il s’agit d’introduire dans son œuvre « ne fût-ce que l’ombre d’une corne de taureau », en s’exposant ainsi au regard d’autrui. </w:t>
      </w:r>
    </w:p>
    <w:p w:rsidR="006C5855" w:rsidRPr="006C5855" w:rsidRDefault="006C5855" w:rsidP="006C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85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9C65774" wp14:editId="6D959440">
            <wp:extent cx="1188720" cy="1606550"/>
            <wp:effectExtent l="0" t="0" r="0" b="0"/>
            <wp:docPr id="11" name="Image 11" descr="Michel Leiris par Roger Pa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chel Leiris par Roger Par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855" w:rsidRPr="006C5855" w:rsidRDefault="006C5855" w:rsidP="006C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Michel Leiris par Roger </w:t>
      </w: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Parry, années 1930. </w:t>
      </w:r>
    </w:p>
    <w:p w:rsidR="006C5855" w:rsidRPr="006C5855" w:rsidRDefault="006C5855" w:rsidP="006C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Michel Leiris est né en 1901. Il a vingt-trois ans quand il adhère au mouvement surréaliste que lui a fait connaître son ami André Masson. C'est en poète et sous l'enseigne de Max Jacob qu'il débute dans la  littérature, en 1925, avec </w:t>
      </w:r>
      <w:r w:rsidRPr="006C585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Simulacres</w:t>
      </w: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Deux ans plus tard, il publie </w:t>
      </w:r>
      <w:hyperlink r:id="rId8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Le Point cardinal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 récit qui est, comme chez </w:t>
      </w:r>
      <w:hyperlink r:id="rId9" w:tgtFrame="_self" w:history="1">
        <w:r w:rsidRPr="006C58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Raymond Roussel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 télescopage d'images, de souvenirs, de rêves, de calembours nés de l'automatisme de la pensée, de jeux de mots. Dans le même esprit, avec la même liberté laissée à l'association d'idées, il écrit entre 1927 et 1928 </w:t>
      </w:r>
      <w:hyperlink r:id="rId10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Aurora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(publié en 1946), où l'héroïne au prénom nervalien est le jouet du prestidigitateur </w:t>
      </w:r>
      <w:proofErr w:type="spellStart"/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>Siriel</w:t>
      </w:r>
      <w:proofErr w:type="spellEnd"/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(anagramme de Leiris) et subit les métamorphoses imposées par son nom, selon qu'il s'écrit </w:t>
      </w:r>
      <w:proofErr w:type="spellStart"/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>horrora</w:t>
      </w:r>
      <w:proofErr w:type="spellEnd"/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or aux rats, etc. </w:t>
      </w: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L'année 1929 est un moment décisif dans l'itinéraire personnel, intellectuel et esthétique de Leiris, une pierre de touche dans l'édification de son œuvre. Il rompt avec le mouvement d'André Breton. « Ayant longtemps souhaité de me dissoudre au sein d'une folie volontaire (telle que me semblait avoir été celle de Gérard de Nerval) », écrit-il à ce propos dans </w:t>
      </w:r>
      <w:hyperlink r:id="rId11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L'Âge </w:t>
        </w:r>
        <w:proofErr w:type="gramStart"/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d'homme</w:t>
        </w:r>
        <w:proofErr w:type="gramEnd"/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« je fus pris soudain d'une crainte aiguë de devenir effectivement fou. » Il se détourne du strict jeu avec la langue pour faire de celle-ci un outil de recherche introspective. </w:t>
      </w:r>
    </w:p>
    <w:p w:rsidR="006C5855" w:rsidRPr="006C5855" w:rsidRDefault="006C5855" w:rsidP="006C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85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5915E357" wp14:editId="65DB97B2">
            <wp:extent cx="1711325" cy="2651760"/>
            <wp:effectExtent l="0" t="0" r="3175" b="0"/>
            <wp:docPr id="12" name="Image 12" descr="Michel Leiris, L'Afrique fantôme. De Dakar à Djibouti (1931-1933), Gallimard, 1934 (« Les documents bleus 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ichel Leiris, L'Afrique fantôme. De Dakar à Djibouti (1931-1933), Gallimard, 1934 (« Les documents bleus »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855" w:rsidRPr="006C5855" w:rsidRDefault="006C5855" w:rsidP="006C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85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L'Afrique fantôme</w:t>
      </w: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> dans</w:t>
      </w: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« Les documents bleus », </w:t>
      </w: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1934 </w:t>
      </w:r>
    </w:p>
    <w:p w:rsidR="006C5855" w:rsidRPr="006C5855" w:rsidRDefault="006C5855" w:rsidP="006C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Ses interrogations sur lui-même, et notamment sur ses rapports avec le sacré, l'interdit, la transgression de l'interdit, l'érotisme et la mort rejoignent celles de </w:t>
      </w:r>
      <w:hyperlink r:id="rId13" w:tgtFrame="_self" w:history="1">
        <w:r w:rsidRPr="006C58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Georges Bataille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son aîné, dissident comme lui du mouvement surréaliste. Leiris participe avec lui au </w:t>
      </w:r>
      <w:hyperlink r:id="rId14" w:tgtFrame="_self" w:history="1">
        <w:r w:rsidRPr="006C58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Collège de Sociologie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fournit, pour </w:t>
      </w:r>
      <w:r w:rsidRPr="006C585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Documents</w:t>
      </w: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revue que vient de fonder Bataille, les textes qui seront réunis dans </w:t>
      </w:r>
      <w:hyperlink r:id="rId15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Brisées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> en 1969.</w:t>
      </w: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Toujours à cette époque, Leiris entreprend une psychanalyse et s'intéresse aux mythes et à l'ethnologie. De 1931 à 1933, il participe à la mission Dakar-Djibouti. </w:t>
      </w:r>
      <w:hyperlink r:id="rId16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L'Afrique fantôme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de 1934 n'est pas seulement une relation, d'ailleurs amère, d'expédition ethnologique, il s'en dégage en même temps cette veine autobiographique qui constituera l'essentiel de la production </w:t>
      </w:r>
      <w:proofErr w:type="spellStart"/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>leirisienne</w:t>
      </w:r>
      <w:proofErr w:type="spellEnd"/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à certains égards la plus belle. Quant au filon ethnologique, il est de nouveau exploité dans </w:t>
      </w:r>
      <w:hyperlink r:id="rId17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Tauromachies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(1937) et </w:t>
      </w:r>
      <w:hyperlink r:id="rId18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Miroirs pour la tauromachie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— deux textes magnifiques où Leiris élabore sa désormais célèbre vision de la « littérature considérée comme une tauromachie » —, puis dans </w:t>
      </w:r>
      <w:hyperlink r:id="rId19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Haut Mal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(1943) où est rassemblée toute la production poétique de ces années de rupture. </w:t>
      </w:r>
    </w:p>
    <w:p w:rsidR="006C5855" w:rsidRPr="006C5855" w:rsidRDefault="006C5855" w:rsidP="006C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85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37BF7784" wp14:editId="42073E2A">
            <wp:extent cx="1711325" cy="2991485"/>
            <wp:effectExtent l="0" t="0" r="3175" b="0"/>
            <wp:docPr id="13" name="Image 13" descr="Michel Leiris, L'Âge d'homme précédé de L'Afrique fantôme, Gallimard, 2014 (« Pléiade 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chel Leiris, L'Âge d'homme précédé de L'Afrique fantôme, Gallimard, 2014 (« Pléiade »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855" w:rsidRPr="006C5855" w:rsidRDefault="006C5855" w:rsidP="006C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85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L'Âge d'homme</w:t>
      </w: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en « Pléiade », </w:t>
      </w: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2014 </w:t>
      </w:r>
    </w:p>
    <w:p w:rsidR="006C5855" w:rsidRPr="006C5855" w:rsidRDefault="006C5855" w:rsidP="006C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Avec </w:t>
      </w:r>
      <w:hyperlink r:id="rId21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L'Âge d'homme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(1939), Michel Leiris revient à son expérience psychanalytique : rêves, souvenirs d'enfance, chocs esthétiques, anecdotes vécues, fantasmes, tout est bon qu'entraîne à soi l'écriture, et, comme l'on a dit de la musique qu'elle est faite de ce qui défait le musicien, l'on peut dire de </w:t>
      </w:r>
      <w:hyperlink r:id="rId22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L'Âge d'homme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qu'il est fait de ce qui défait, démantèle le sujet, lequel n'est effectivement plus, comme le dira </w:t>
      </w:r>
      <w:hyperlink r:id="rId23" w:tgtFrame="_self" w:history="1">
        <w:r w:rsidRPr="006C58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Blanchot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« je structuré du monde, mais déjà la statue monumentale, sans regard, sans figure et sans nom : </w:t>
      </w:r>
      <w:proofErr w:type="spellStart"/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>le il</w:t>
      </w:r>
      <w:proofErr w:type="spellEnd"/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mort souveraine ». Quelque risque qu'il soit déjà sûr d'encourir pour lui-même, Leiris n'en décide pas moins ici son entreprise autobiographique.</w:t>
      </w: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Sauf </w:t>
      </w:r>
      <w:hyperlink r:id="rId24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Glossaire, j'y serre mes gloses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25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Nuits sans nuit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26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Bagatelles végétales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et </w:t>
      </w:r>
      <w:hyperlink r:id="rId27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Grande fuite de neige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l'essentiel de l'activité de Michel Leiris, depuis l'Occupation qu'il passe à écrire </w:t>
      </w:r>
      <w:hyperlink r:id="rId28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Biffures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est consacrée à la rédaction des volumes de </w:t>
      </w:r>
      <w:hyperlink r:id="rId29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La Règle du jeu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S'il poursuit dans le premier volume les explorations commencées avec </w:t>
      </w:r>
      <w:hyperlink r:id="rId30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L'Âge d'homme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avec </w:t>
      </w:r>
      <w:hyperlink r:id="rId31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Fourbis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(1955), Leiris change de « tactique » : il ne laisse plus venir à lui les choses qui lui sont arrivées (rêves, fantasmes, expériences), il ne rappelle à lui que celles « qui revêtent une forme telle qu'elles puissent servir de base à une mythologie ». </w:t>
      </w:r>
    </w:p>
    <w:p w:rsidR="006C5855" w:rsidRPr="006C5855" w:rsidRDefault="006C5855" w:rsidP="006C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85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758E6E8" wp14:editId="147819B5">
            <wp:extent cx="1188720" cy="1802765"/>
            <wp:effectExtent l="0" t="0" r="0" b="6985"/>
            <wp:docPr id="14" name="Image 14" descr="Michel Leiris, Frêle bruit, Gallimard, 1992 (« L'Imaginaire 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ichel Leiris, Frêle bruit, Gallimard, 1992 (« L'Imaginaire »)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855" w:rsidRPr="006C5855" w:rsidRDefault="006C5855" w:rsidP="006C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85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Règle du jeu</w:t>
      </w: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IV, </w:t>
      </w: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dans « L'Imaginaire ». </w:t>
      </w:r>
    </w:p>
    <w:p w:rsidR="006C5855" w:rsidRPr="006C5855" w:rsidRDefault="006C5855" w:rsidP="006C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Et ce qu'aura gagné Leiris à cette reprise en main de son matériau littéraire, c'est cette remarquable aisance stylistique, qui confine parfois à la virtuosité, et qui caractérisera désormais sa plume. À la fin de </w:t>
      </w:r>
      <w:hyperlink r:id="rId33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Fibrilles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(1966), troisième volet de son entreprise, Michel Leiris écrit qu'il est sans doute temps pour lui d'arrêter le jeu. Il ne le cessera que trente-cinq ans après l'avoir commencé, avec </w:t>
      </w:r>
      <w:hyperlink r:id="rId34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Frêle bruit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qui clôt </w:t>
      </w:r>
      <w:hyperlink r:id="rId35" w:tgtFrame="_self" w:history="1">
        <w:r w:rsidRPr="006C58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La Règle du jeu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6C5855" w:rsidRPr="006C5855" w:rsidRDefault="006C5855" w:rsidP="006C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Michel Leiris a dirigé chez Gallimard, où a paru une grande partie de son œuvre, la collection « </w:t>
      </w:r>
      <w:hyperlink r:id="rId36" w:tgtFrame="_self" w:history="1">
        <w:r w:rsidRPr="006C58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L'Espèce humaine</w:t>
        </w:r>
      </w:hyperlink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» de 1937 à 1965. Prix des Critiques en 1952, il a refusé le Grand prix national des Lettres en 1980. Il est mort le 30 septembre 1990 dans l'Essonne. </w:t>
      </w:r>
    </w:p>
    <w:p w:rsidR="006C5855" w:rsidRPr="006C5855" w:rsidRDefault="006C5855" w:rsidP="006C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Bibliographie indicative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10"/>
        <w:gridCol w:w="7362"/>
      </w:tblGrid>
      <w:tr w:rsidR="006C5855" w:rsidRPr="006C5855" w:rsidTr="006C5855">
        <w:trPr>
          <w:tblCellSpacing w:w="0" w:type="dxa"/>
        </w:trPr>
        <w:tc>
          <w:tcPr>
            <w:tcW w:w="0" w:type="auto"/>
            <w:hideMark/>
          </w:tcPr>
          <w:p w:rsidR="006C5855" w:rsidRPr="006C5855" w:rsidRDefault="006C5855" w:rsidP="006C5855">
            <w:pPr>
              <w:spacing w:before="100" w:beforeAutospacing="1" w:after="100" w:afterAutospacing="1" w:line="240" w:lineRule="auto"/>
              <w:divId w:val="636297293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8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89F37F6" wp14:editId="14D5DAF2">
                  <wp:extent cx="1045210" cy="1528445"/>
                  <wp:effectExtent l="0" t="0" r="2540" b="0"/>
                  <wp:docPr id="15" name="Image 15" descr="Michel Leiris, Miroir de l'Afrique, Gallimard, 1996 (« Quarto »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ichel Leiris, Miroir de l'Afrique, Gallimard, 1996 (« Quarto »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52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C5855" w:rsidRPr="006C5855" w:rsidRDefault="006C5855" w:rsidP="006C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› </w:t>
            </w:r>
            <w:hyperlink r:id="rId38" w:tgtFrame="_self" w:history="1">
              <w:r w:rsidRPr="006C58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Œuvres de Michel Leiris aux Éditions Gallimard</w:t>
              </w:r>
            </w:hyperlink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 </w:t>
            </w:r>
          </w:p>
          <w:p w:rsidR="006C5855" w:rsidRPr="006C5855" w:rsidRDefault="006C5855" w:rsidP="006C58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Georges Bataille, Michel Leiris. </w:t>
            </w:r>
            <w:hyperlink r:id="rId39" w:tgtFrame="_self" w:history="1">
              <w:r w:rsidRPr="006C5855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fr-FR"/>
                </w:rPr>
                <w:t>Échanges et correspondances</w:t>
              </w:r>
            </w:hyperlink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Gallimard, 2004 (« Les inédits de Doucet»)</w:t>
            </w:r>
          </w:p>
          <w:p w:rsidR="006C5855" w:rsidRPr="006C5855" w:rsidRDefault="006C5855" w:rsidP="006C58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Maurice Blanchot, « Regards d'outre-tombe », dans </w:t>
            </w:r>
            <w:hyperlink r:id="rId40" w:tgtFrame="_self" w:history="1">
              <w:r w:rsidRPr="006C5855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fr-FR"/>
                </w:rPr>
                <w:t>La Part du feu</w:t>
              </w:r>
            </w:hyperlink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Gallimard, 1949</w:t>
            </w:r>
          </w:p>
          <w:p w:rsidR="006C5855" w:rsidRPr="006C5855" w:rsidRDefault="006C5855" w:rsidP="006C58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Catherine </w:t>
            </w:r>
            <w:proofErr w:type="spellStart"/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Maubon</w:t>
            </w:r>
            <w:proofErr w:type="spellEnd"/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hyperlink r:id="rId41" w:tgtFrame="_self" w:history="1">
              <w:r w:rsidRPr="006C58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L'Âge d'homme </w:t>
              </w:r>
              <w:r w:rsidRPr="006C5855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fr-FR"/>
                </w:rPr>
                <w:t>de Michel Leiris (essai et dossier)</w:t>
              </w:r>
            </w:hyperlink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Gallimard, 1997 (« </w:t>
            </w:r>
            <w:proofErr w:type="spellStart"/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Foliothèque</w:t>
            </w:r>
            <w:proofErr w:type="spellEnd"/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»)</w:t>
            </w:r>
          </w:p>
          <w:p w:rsidR="006C5855" w:rsidRPr="006C5855" w:rsidRDefault="006C5855" w:rsidP="006C58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J.-B. </w:t>
            </w:r>
            <w:proofErr w:type="spellStart"/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Pontalis</w:t>
            </w:r>
            <w:proofErr w:type="spellEnd"/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hyperlink r:id="rId42" w:tgtFrame="_self" w:history="1">
              <w:r w:rsidRPr="006C58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« Michel Leiris ou La psychanalyse sans fin »</w:t>
              </w:r>
            </w:hyperlink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dans </w:t>
            </w:r>
            <w:r w:rsidRPr="006C58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Œuvres littéraires</w:t>
            </w:r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Gallimard, 2015 (« Quarto »)</w:t>
            </w:r>
          </w:p>
          <w:p w:rsidR="006C5855" w:rsidRPr="006C5855" w:rsidRDefault="006C5855" w:rsidP="006C5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Livre d'art</w:t>
            </w:r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6C5855" w:rsidRPr="006C5855" w:rsidRDefault="006C5855" w:rsidP="006C58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" w:tgtFrame="_self" w:history="1">
              <w:r w:rsidRPr="006C5855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fr-FR"/>
                </w:rPr>
                <w:t>Leiris &amp; Co</w:t>
              </w:r>
            </w:hyperlink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par Marie-Laure </w:t>
            </w:r>
            <w:proofErr w:type="spellStart"/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Bernadac</w:t>
            </w:r>
            <w:proofErr w:type="spellEnd"/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Denis </w:t>
            </w:r>
            <w:proofErr w:type="spellStart"/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Hollier</w:t>
            </w:r>
            <w:proofErr w:type="spellEnd"/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Agnès de La </w:t>
            </w:r>
            <w:proofErr w:type="spellStart"/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Beaumelle</w:t>
            </w:r>
            <w:proofErr w:type="spellEnd"/>
            <w:r w:rsidRPr="006C585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coédition Gallimard/Centre Pompidou-Metz, 2015</w:t>
            </w:r>
          </w:p>
        </w:tc>
      </w:tr>
    </w:tbl>
    <w:p w:rsidR="006C5855" w:rsidRPr="006C5855" w:rsidRDefault="006C5855" w:rsidP="006C5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8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© Éditions Gallimard </w:t>
      </w:r>
    </w:p>
    <w:p w:rsidR="003762F6" w:rsidRDefault="0091502C"/>
    <w:sectPr w:rsidR="003762F6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02C" w:rsidRDefault="0091502C" w:rsidP="006C5855">
      <w:pPr>
        <w:spacing w:after="0" w:line="240" w:lineRule="auto"/>
      </w:pPr>
      <w:r>
        <w:separator/>
      </w:r>
    </w:p>
  </w:endnote>
  <w:endnote w:type="continuationSeparator" w:id="0">
    <w:p w:rsidR="0091502C" w:rsidRDefault="0091502C" w:rsidP="006C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855" w:rsidRDefault="006C585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855" w:rsidRDefault="006C585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855" w:rsidRDefault="006C585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02C" w:rsidRDefault="0091502C" w:rsidP="006C5855">
      <w:pPr>
        <w:spacing w:after="0" w:line="240" w:lineRule="auto"/>
      </w:pPr>
      <w:r>
        <w:separator/>
      </w:r>
    </w:p>
  </w:footnote>
  <w:footnote w:type="continuationSeparator" w:id="0">
    <w:p w:rsidR="0091502C" w:rsidRDefault="0091502C" w:rsidP="006C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855" w:rsidRDefault="006C585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855" w:rsidRDefault="006C5855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6C5855" w:rsidRDefault="006C5855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mICHEL leiris - Entretiens et docUMENTS GALLIMARD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6C5855" w:rsidRDefault="006C5855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mICHEL leiris - Entretiens et docUMENTS GALLIMARD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855" w:rsidRDefault="006C585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37F9"/>
    <w:multiLevelType w:val="multilevel"/>
    <w:tmpl w:val="2114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65F0E"/>
    <w:multiLevelType w:val="multilevel"/>
    <w:tmpl w:val="B35C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55"/>
    <w:rsid w:val="002A55A7"/>
    <w:rsid w:val="006C5855"/>
    <w:rsid w:val="0091502C"/>
    <w:rsid w:val="00FC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C574BA-F106-4F50-9989-312351E9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5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5855"/>
  </w:style>
  <w:style w:type="paragraph" w:styleId="Pieddepage">
    <w:name w:val="footer"/>
    <w:basedOn w:val="Normal"/>
    <w:link w:val="PieddepageCar"/>
    <w:uiPriority w:val="99"/>
    <w:unhideWhenUsed/>
    <w:rsid w:val="006C5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8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1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187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9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3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8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73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7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74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918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21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5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1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32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4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29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6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allimard.fr/Contributeurs/Georges-Bataille" TargetMode="External"/><Relationship Id="rId18" Type="http://schemas.openxmlformats.org/officeDocument/2006/relationships/hyperlink" Target="http://www.gallimard.fr/Catalogue/GALLIMARD/Bibliotheque-de-la-Pleiade/L-Age-d-homme-precede-de-L-Afrique-fantome" TargetMode="External"/><Relationship Id="rId26" Type="http://schemas.openxmlformats.org/officeDocument/2006/relationships/hyperlink" Target="http://www.gallimard.fr/Catalogue/GALLIMARD/Poesie-Gallimard/Glossaire-j-y-serre-mes-gloses-suivi-de-Bagatelles-vegetales" TargetMode="External"/><Relationship Id="rId39" Type="http://schemas.openxmlformats.org/officeDocument/2006/relationships/hyperlink" Target="http://www.gallimard.fr/Catalogue/GALLIMARD/Les-inedits-de-Doucet/Echanges-et-correspondances" TargetMode="External"/><Relationship Id="rId21" Type="http://schemas.openxmlformats.org/officeDocument/2006/relationships/hyperlink" Target="http://www.gallimard.fr/Catalogue/GALLIMARD/Blanche/L-Age-d-homme-precede-de-De-la-litterature-consideree-comme-une-tauromachie" TargetMode="External"/><Relationship Id="rId34" Type="http://schemas.openxmlformats.org/officeDocument/2006/relationships/hyperlink" Target="http://www.gallimard.fr/Catalogue/GALLIMARD/L-Imaginaire/Frele-bruit" TargetMode="External"/><Relationship Id="rId42" Type="http://schemas.openxmlformats.org/officeDocument/2006/relationships/hyperlink" Target="http://www.gallimard.fr/Catalogue/GALLIMARD/Quarto/OEuvres-litteraires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gallimard.fr/Catalogue/GALLIMARD/Tel/L-Afrique-fantome" TargetMode="External"/><Relationship Id="rId29" Type="http://schemas.openxmlformats.org/officeDocument/2006/relationships/hyperlink" Target="http://www.gallimard.fr/Catalogue/GALLIMARD/Bibliotheque-de-la-Pleiade/La-Regle-du-jeu" TargetMode="External"/><Relationship Id="rId11" Type="http://schemas.openxmlformats.org/officeDocument/2006/relationships/hyperlink" Target="http://www.gallimard.fr/Catalogue/GALLIMARD/Blanche/L-Age-d-homme-precede-de-De-la-litterature-consideree-comme-une-tauromachie" TargetMode="External"/><Relationship Id="rId24" Type="http://schemas.openxmlformats.org/officeDocument/2006/relationships/hyperlink" Target="http://www.gallimard.fr/Catalogue/GALLIMARD/Poesie-Gallimard/Glossaire-j-y-serre-mes-gloses-suivi-de-Bagatelles-vegetales" TargetMode="External"/><Relationship Id="rId32" Type="http://schemas.openxmlformats.org/officeDocument/2006/relationships/image" Target="media/image4.jpeg"/><Relationship Id="rId37" Type="http://schemas.openxmlformats.org/officeDocument/2006/relationships/image" Target="media/image5.jpeg"/><Relationship Id="rId40" Type="http://schemas.openxmlformats.org/officeDocument/2006/relationships/hyperlink" Target="http://www.gallimard.fr/Catalogue/GALLIMARD/Blanche/La-Part-du-feu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gallimard.fr/Catalogue/GALLIMARD/Folio/Folio-essais/Brisees" TargetMode="External"/><Relationship Id="rId23" Type="http://schemas.openxmlformats.org/officeDocument/2006/relationships/hyperlink" Target="http://www.gallimard.fr/Catalogue/GALLIMARD/Blanche/La-Part-du-feu" TargetMode="External"/><Relationship Id="rId28" Type="http://schemas.openxmlformats.org/officeDocument/2006/relationships/hyperlink" Target="http://www.gallimard.fr/Catalogue/GALLIMARD/L-Imaginaire/Biffures" TargetMode="External"/><Relationship Id="rId36" Type="http://schemas.openxmlformats.org/officeDocument/2006/relationships/hyperlink" Target="http://www.lapleiade.fr/Catalogue/GALLIMARD/L-Espece-humaine" TargetMode="External"/><Relationship Id="rId49" Type="http://schemas.openxmlformats.org/officeDocument/2006/relationships/footer" Target="footer3.xml"/><Relationship Id="rId10" Type="http://schemas.openxmlformats.org/officeDocument/2006/relationships/hyperlink" Target="http://www.gallimard.fr/Catalogue/GALLIMARD/L-Imaginaire/Aurora" TargetMode="External"/><Relationship Id="rId19" Type="http://schemas.openxmlformats.org/officeDocument/2006/relationships/hyperlink" Target="http://www.gallimard.fr/Catalogue/GALLIMARD/Poesie-Gallimard/Haut-Mal-suivi-de-Autres-lancers" TargetMode="External"/><Relationship Id="rId31" Type="http://schemas.openxmlformats.org/officeDocument/2006/relationships/hyperlink" Target="http://www.gallimard.fr/Catalogue/GALLIMARD/L-Imaginaire/Fourbis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limard.fr/Contributeurs/Raymond-Roussel" TargetMode="External"/><Relationship Id="rId14" Type="http://schemas.openxmlformats.org/officeDocument/2006/relationships/hyperlink" Target="http://www.gallimard.fr/Catalogue/GALLIMARD/Idees/Le-College-de-Sociologie" TargetMode="External"/><Relationship Id="rId22" Type="http://schemas.openxmlformats.org/officeDocument/2006/relationships/hyperlink" Target="http://www.gallimard.fr/Catalogue/GALLIMARD/Blanche/L-Age-d-homme-precede-de-De-la-litterature-consideree-comme-une-tauromachie" TargetMode="External"/><Relationship Id="rId27" Type="http://schemas.openxmlformats.org/officeDocument/2006/relationships/hyperlink" Target="http://www.gallimard.fr/Catalogue/MERCURE-DE-FRANCE/La-Grappe/Grande-fuite-de-neige" TargetMode="External"/><Relationship Id="rId30" Type="http://schemas.openxmlformats.org/officeDocument/2006/relationships/hyperlink" Target="http://www.gallimard.fr/Catalogue/GALLIMARD/Blanche/L-Age-d-homme-precede-de-De-la-litterature-consideree-comme-une-tauromachie" TargetMode="External"/><Relationship Id="rId35" Type="http://schemas.openxmlformats.org/officeDocument/2006/relationships/hyperlink" Target="http://www.gallimard.fr/Catalogue/GALLIMARD/Bibliotheque-de-la-Pleiade/La-Regle-du-jeu" TargetMode="External"/><Relationship Id="rId43" Type="http://schemas.openxmlformats.org/officeDocument/2006/relationships/hyperlink" Target="http://www.gallimard.fr/Catalogue/GALLIMARD/Livres-d-Art/Leiris-Co" TargetMode="External"/><Relationship Id="rId48" Type="http://schemas.openxmlformats.org/officeDocument/2006/relationships/header" Target="header3.xml"/><Relationship Id="rId8" Type="http://schemas.openxmlformats.org/officeDocument/2006/relationships/hyperlink" Target="http://www.gallimard.fr/Catalogue/GALLIMARD/L-Imaginaire/Mots-sans-memoire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gallimard.fr/Catalogue/GALLIMARD/Bibliotheque-de-la-Pleiade/L-Age-d-homme-precede-de-L-Afrique-fantome" TargetMode="External"/><Relationship Id="rId25" Type="http://schemas.openxmlformats.org/officeDocument/2006/relationships/hyperlink" Target="http://www.gallimard.fr/Catalogue/GALLIMARD/L-Imaginaire/Nuits-sans-nuit-et-quelques-jours-sans-jour" TargetMode="External"/><Relationship Id="rId33" Type="http://schemas.openxmlformats.org/officeDocument/2006/relationships/hyperlink" Target="http://www.gallimard.fr/Catalogue/GALLIMARD/L-Imaginaire/Fibrilles" TargetMode="External"/><Relationship Id="rId38" Type="http://schemas.openxmlformats.org/officeDocument/2006/relationships/hyperlink" Target="http://www.gallimard.fr/Contributeurs/Michel-Leiris" TargetMode="External"/><Relationship Id="rId46" Type="http://schemas.openxmlformats.org/officeDocument/2006/relationships/footer" Target="footer1.xml"/><Relationship Id="rId20" Type="http://schemas.openxmlformats.org/officeDocument/2006/relationships/image" Target="media/image3.jpeg"/><Relationship Id="rId41" Type="http://schemas.openxmlformats.org/officeDocument/2006/relationships/hyperlink" Target="http://www.gallimard.fr/Catalogue/GALLIMARD/Folio/Foliotheque/L-Age-d-homme-de-Michel-Leiris-Essai-et-dossi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1494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 leiris - Entretiens et docUMENTS GALLIMARD</dc:title>
  <dc:subject/>
  <dc:creator>Anita</dc:creator>
  <cp:keywords/>
  <dc:description/>
  <cp:lastModifiedBy>Anita</cp:lastModifiedBy>
  <cp:revision>1</cp:revision>
  <dcterms:created xsi:type="dcterms:W3CDTF">2020-09-22T07:27:00Z</dcterms:created>
  <dcterms:modified xsi:type="dcterms:W3CDTF">2020-09-22T07:30:00Z</dcterms:modified>
</cp:coreProperties>
</file>